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B7" w:rsidRPr="00640F33" w:rsidRDefault="00E269B7">
      <w:pPr>
        <w:rPr>
          <w:cs/>
        </w:rPr>
      </w:pPr>
      <w:r w:rsidRPr="00640F3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-143510</wp:posOffset>
            </wp:positionV>
            <wp:extent cx="1047115" cy="1104900"/>
            <wp:effectExtent l="19050" t="0" r="63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E269B7" w:rsidRPr="00640F33" w:rsidRDefault="00E269B7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4893" w:rsidRDefault="00955C3A" w:rsidP="00E84893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 ประกวดราคาจ้าง</w:t>
            </w:r>
            <w:r w:rsidR="00E84893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โครงการก่อสร้างถนนลาดยาง</w:t>
            </w:r>
            <w:proofErr w:type="spellStart"/>
            <w:r w:rsidR="00E84893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แอสฟัสท์</w:t>
            </w:r>
            <w:proofErr w:type="spellEnd"/>
            <w:r w:rsidR="00E84893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ติ</w:t>
            </w:r>
            <w:proofErr w:type="spellStart"/>
            <w:r w:rsidR="00E84893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กคอ</w:t>
            </w:r>
            <w:proofErr w:type="spellEnd"/>
            <w:r w:rsidR="00E84893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นกรีตพร้อมวางท่อระบายน้ำ </w:t>
            </w:r>
          </w:p>
          <w:p w:rsidR="00E84893" w:rsidRDefault="00E84893" w:rsidP="00E84893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ค.</w:t>
            </w:r>
            <w:proofErr w:type="spellStart"/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ส.ล.</w:t>
            </w:r>
            <w:proofErr w:type="spellEnd"/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 สาย </w:t>
            </w:r>
            <w:proofErr w:type="spellStart"/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สฎ</w:t>
            </w:r>
            <w:proofErr w:type="spellEnd"/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 4031  แยกทางหลวง  4110  หมู่ที่  2  บ้านโพธิ์บาย  </w:t>
            </w:r>
            <w:proofErr w:type="spellStart"/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ปัน  </w:t>
            </w:r>
          </w:p>
          <w:p w:rsidR="00955C3A" w:rsidRPr="00640F33" w:rsidRDefault="00E84893" w:rsidP="00E84893">
            <w:pPr>
              <w:spacing w:after="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อำเภอพระแสง  จังหวัดสุราษฎร์ธานี</w:t>
            </w:r>
            <w: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ด้วย</w:t>
            </w:r>
            <w:r w:rsidR="00CF05BC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วิธีการทาง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อิเล็กทรอนิกส์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220A" w:rsidRPr="00AA3FE0" w:rsidRDefault="00955C3A" w:rsidP="0066220A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</w:t>
            </w:r>
            <w:r w:rsidR="00E269B7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 xml:space="preserve">                       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ประกวดราคาจ้าง</w:t>
            </w:r>
            <w:r w:rsidR="0066220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โครงการก่อสร้างถนนลาดยาง</w:t>
            </w:r>
            <w:proofErr w:type="spellStart"/>
            <w:r w:rsidR="0066220A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แอสฟัสท์</w:t>
            </w:r>
            <w:proofErr w:type="spellEnd"/>
            <w:r w:rsidR="0066220A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="0066220A">
              <w:rPr>
                <w:rFonts w:ascii="TH SarabunPSK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="0066220A">
              <w:rPr>
                <w:rFonts w:ascii="TH SarabunPSK" w:hAnsi="TH SarabunPSK" w:cs="TH SarabunPSK" w:hint="cs"/>
                <w:sz w:val="32"/>
                <w:szCs w:val="32"/>
                <w:cs/>
              </w:rPr>
              <w:t>นกรีตพร้อมวางท่อระบายน้ำ ค.</w:t>
            </w:r>
            <w:proofErr w:type="spellStart"/>
            <w:r w:rsidR="0066220A">
              <w:rPr>
                <w:rFonts w:ascii="TH SarabunPSK" w:hAnsi="TH SarabunPSK" w:cs="TH SarabunPSK" w:hint="cs"/>
                <w:sz w:val="32"/>
                <w:szCs w:val="32"/>
                <w:cs/>
              </w:rPr>
              <w:t>ส.ล.</w:t>
            </w:r>
            <w:proofErr w:type="spellEnd"/>
            <w:r w:rsidR="006622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สาย </w:t>
            </w:r>
            <w:proofErr w:type="spellStart"/>
            <w:r w:rsidR="0066220A">
              <w:rPr>
                <w:rFonts w:ascii="TH SarabunPSK" w:hAnsi="TH SarabunPSK" w:cs="TH SarabunPSK" w:hint="cs"/>
                <w:sz w:val="32"/>
                <w:szCs w:val="32"/>
                <w:cs/>
              </w:rPr>
              <w:t>สฎ</w:t>
            </w:r>
            <w:proofErr w:type="spellEnd"/>
            <w:r w:rsidR="006622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4031  แยกทางหลวง  4110  หมู่ที่  2  บ้านโพธิ์บาย  </w:t>
            </w:r>
            <w:proofErr w:type="spellStart"/>
            <w:r w:rsidR="0066220A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6622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ปัน  อำเภอพระแสง  จังหวัดสุราษฎร์ธานี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</w:t>
            </w:r>
            <w:r w:rsidR="00CF05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269B7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  <w:r w:rsidR="00E269B7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66220A" w:rsidRPr="00AA3FE0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</w:t>
            </w:r>
            <w:r w:rsidR="0066220A" w:rsidRPr="00AA3FE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ดำเนินการ</w:t>
            </w:r>
            <w:r w:rsidR="006622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ก่อสร้างถนนลาดยาง</w:t>
            </w:r>
            <w:proofErr w:type="spellStart"/>
            <w:r w:rsidR="006622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แอสฟัสท์</w:t>
            </w:r>
            <w:proofErr w:type="spellEnd"/>
            <w:r w:rsidR="006622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="006622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="006622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นกรีตพร้อมวางท่อระบายน้ำ ค.</w:t>
            </w:r>
            <w:proofErr w:type="spellStart"/>
            <w:r w:rsidR="006622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ส.ล.</w:t>
            </w:r>
            <w:proofErr w:type="spellEnd"/>
            <w:r w:rsidR="006622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สาย </w:t>
            </w:r>
            <w:proofErr w:type="spellStart"/>
            <w:r w:rsidR="006622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สฎ</w:t>
            </w:r>
            <w:proofErr w:type="spellEnd"/>
            <w:r w:rsidR="006622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4031  แยกทางหลวง  4110  หมู่ที่  2  บ้านโพธิ์บาย  </w:t>
            </w:r>
            <w:proofErr w:type="spellStart"/>
            <w:r w:rsidR="006622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66220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ปัน  อำเภอพระแสง จังหวัดสุราษฎร์ธานี  ถนนผิวจราจร  กว้าง  6  เมตร  ยาว  2,685  เมตร  หนา  0.05  เมตร</w:t>
            </w:r>
            <w:r w:rsidR="0066220A" w:rsidRPr="00AA3FE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พร้อมป้ายประชาสัมพันธ์โครงการจำนวน  2  ชุด (ป้ายถาวร จำนวน 1 ชุด และป้ายชั่วคราว จำนวน 1 ชุด) </w:t>
            </w:r>
            <w:r w:rsidR="0066220A" w:rsidRPr="00AA3F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(ระยะเวลาดำเนินการ </w:t>
            </w:r>
            <w:r w:rsidR="0066220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180</w:t>
            </w:r>
            <w:r w:rsidR="0066220A" w:rsidRPr="00AA3F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วัน)  </w:t>
            </w:r>
            <w:r w:rsidR="0066220A" w:rsidRPr="00AA3FE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รายละเอียดตามแบบแปลน  องค์การบริหารส่วน</w:t>
            </w:r>
            <w:proofErr w:type="spellStart"/>
            <w:r w:rsidR="0066220A" w:rsidRPr="00AA3FE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66220A" w:rsidRPr="00AA3FE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ปันกำหนด</w:t>
            </w:r>
          </w:p>
          <w:p w:rsidR="0066220A" w:rsidRPr="00AA3FE0" w:rsidRDefault="0066220A" w:rsidP="0066220A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66220A" w:rsidRPr="00AA3FE0" w:rsidRDefault="0066220A" w:rsidP="006622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AA3FE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 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8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170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,000.00 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บาท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แปดล้านหนึ่งแสนเจ็ดหมื่นบาทถ้วน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955C3A" w:rsidRPr="00640F33" w:rsidRDefault="00955C3A" w:rsidP="00C145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9"/>
                <w:szCs w:val="19"/>
                <w:cs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E269B7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  <w:t>          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955C3A" w:rsidRPr="00640F33" w:rsidTr="00E6224F">
        <w:trPr>
          <w:trHeight w:val="1272"/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B5C" w:rsidRDefault="00955C3A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</w:t>
            </w:r>
            <w:r w:rsidR="00BC77DE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</w:t>
            </w:r>
            <w:r w:rsidR="00E269B7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เป็นนิติบุคคล ผู้มีอาชีพรับจ้างงานที่ประกวดราคาจ้างด้วย</w:t>
            </w:r>
            <w:r w:rsidR="00CF05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อิเล็กทรอนิกส์ดังกล่าว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6D0C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="006D0C0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,085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,000.00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</w:t>
            </w:r>
            <w:r w:rsidR="00BC77DE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</w:t>
            </w:r>
            <w:r w:rsidR="00BC77DE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 w:rsidR="00BC77DE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เว้นแต่รัฐบาลของผู้ประสงค์จะเสนอราคาได้มีคำสั่งให้สละสิทธิ์ความคุ้มกันเช่นว่านั้น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 w:rsidR="00271B5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ประสงค์จะเสนอราคารายอื่นที่เข้าเสนอราคาให้แก่องค์การบริหารส่วน</w:t>
            </w:r>
            <w:proofErr w:type="spellStart"/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วันที่ประกาศประกวดราคาด้วย</w:t>
            </w:r>
            <w:r w:rsidR="00271B5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 หรือไม่เป็นผู้กระทำการอันเป็นการขัดขวางการแข่งขันราคาอย่างเป็นธรรมในการประกวดราคาจ้างด้วย</w:t>
            </w:r>
            <w:r w:rsidR="00271B5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อิเล็กทรอนิกส์ครั้งนี้</w:t>
            </w:r>
            <w:r w:rsidR="00271B5C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 w:rsidR="00271B5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</w:p>
          <w:p w:rsidR="00271B5C" w:rsidRPr="00640F33" w:rsidRDefault="00271B5C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อิเล็กทรอนิกส์(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e-Government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Procurement : e-GP)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ต้องลงทะเบียนในระบบอิเล็กทรอนิกส์ของกรมบัญชีกลาง </w:t>
            </w:r>
          </w:p>
          <w:p w:rsidR="00271B5C" w:rsidRDefault="00271B5C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ที่เว็บไซต์ศูนย์ข้อมูลจัดซื้อจัดจ้างภาครัฐ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271B5C" w:rsidRDefault="00271B5C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8.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564B5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564B53" w:rsidRPr="00564B53" w:rsidRDefault="00564B53" w:rsidP="00564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564B5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564B5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564B53" w:rsidRPr="00640F3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DB0F0F" w:rsidRDefault="00DB0F0F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73E2F" w:rsidRDefault="00564B53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-2-</w:t>
            </w:r>
          </w:p>
          <w:p w:rsidR="00564B53" w:rsidRPr="00564B53" w:rsidRDefault="00564B53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73E2F" w:rsidRPr="00640F33" w:rsidRDefault="00F73E2F" w:rsidP="00F73E2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กำหนดดูสถานที่ในวันที่ </w:t>
            </w:r>
            <w:r w:rsidR="00564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D0C0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  กุมภาพันธ์  2558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ระหว่างเวลา </w:t>
            </w:r>
            <w:r w:rsidR="00F97FAA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09.00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น. ถึง </w:t>
            </w:r>
            <w:r w:rsidR="00F97FAA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10.00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น. ณ หมู่ที่  </w:t>
            </w:r>
            <w:r w:rsidR="006D0C0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  บ้านโพธิ์บาย</w:t>
            </w:r>
            <w:r w:rsidR="00F97FAA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proofErr w:type="spellStart"/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ปัน อำเภอพระแสง จังหวัดสุราษฎร์ธานี  และกำหนดรับฟังค</w:t>
            </w:r>
            <w:r w:rsidR="00564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ำชี้แจงรายละเอียดเพิ่มในวันที่ 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D0C0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  กุมภาพันธ์  2558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เวลา  1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 น. เป็นต้นไป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73E2F" w:rsidRPr="0044131F" w:rsidRDefault="00F73E2F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9FD" w:rsidRDefault="00955C3A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  <w:lastRenderedPageBreak/>
              <w:t>          </w:t>
            </w:r>
            <w:r w:rsidR="00E6224F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กำหนดยื่นซองเอกสารประกวดราคาจ้างก่อสร้างด้วย</w:t>
            </w:r>
            <w:r w:rsidR="00CF05B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อิเล็กทรอนิกส์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A48D3" w:rsidRDefault="006D0C0B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 กุมภาพันธ์  2558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10.00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61AD6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12.00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ณ ศูนย์รวมข้อมูลข่าวสารจัดซื้อจัดจ้างขององค์การบริหารส่วนตำบลระดับอำเภอ สำนักงานท้องถิ่นอำเภอพระแสง ชั้น </w:t>
            </w:r>
            <w:r w:rsidR="00D61AD6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และกำหนดเสนอราคาใน</w:t>
            </w:r>
            <w:r w:rsidR="0044131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955C3A" w:rsidRPr="00640F33" w:rsidRDefault="0044131F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49297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</w:t>
            </w:r>
            <w:r w:rsidR="004C060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9297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กุมภาพันธ์  2558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10.00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10.30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8504B4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820B2" w:rsidRPr="00640F33" w:rsidRDefault="00D820B2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132F" w:rsidRPr="00640F33" w:rsidRDefault="00955C3A" w:rsidP="00D820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</w:t>
            </w:r>
            <w:r w:rsidR="00D61AD6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ผู้สนใจติดต่อขอซื้อเอกสารประกวดราคาจ้างก่อสร้างด้วย</w:t>
            </w:r>
            <w:r w:rsidR="00CF05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ในราคาชุดละ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:rsidR="00955C3A" w:rsidRDefault="00BE59AD" w:rsidP="008572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000.00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="00F27601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7601" w:rsidRPr="005338F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FE690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หนึ่งหมื่นบาทถ้วน</w:t>
            </w:r>
            <w:r w:rsidR="00F27601" w:rsidRPr="005338F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FE690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29  มกราคม  2558 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</w:t>
            </w:r>
            <w:r w:rsidR="001C054D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564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E690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6  </w:t>
            </w:r>
            <w:r w:rsidR="00FE690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กุมภาพันธ์  2558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D61AD6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08.30 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D61AD6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16.30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และสอบถามรายละเอียดเพิ่มเติมได้ที่องค์การบริหารส่วน</w:t>
            </w:r>
            <w:proofErr w:type="spellStart"/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หมายเลขโทรศัพท์  077-369130  ในวันและเวลาราชการหรือ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7" w:history="1">
              <w:r w:rsidR="00D820B2" w:rsidRPr="00640F33">
                <w:rPr>
                  <w:rStyle w:val="a4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</w:t>
              </w:r>
            </w:hyperlink>
            <w:r w:rsidR="00D820B2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="00D820B2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www.gprocurement.go.th </w:t>
            </w:r>
          </w:p>
          <w:p w:rsidR="006814C4" w:rsidRPr="00640F33" w:rsidRDefault="006814C4" w:rsidP="00B3094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3C542F">
            <w:pPr>
              <w:spacing w:before="100" w:beforeAutospacing="1" w:after="100" w:afterAutospacing="1" w:line="240" w:lineRule="auto"/>
              <w:ind w:left="2785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</w:t>
            </w:r>
            <w:r w:rsidR="000C7055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ประกาศ ณ วันที่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E6901"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  <w:r w:rsidR="0044131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C7055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0C7055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FE690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มกราคม</w:t>
            </w:r>
            <w:r w:rsidR="004413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C7055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พ.ศ. 255</w:t>
            </w:r>
            <w:r w:rsidR="003C54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45"/>
            </w:tblGrid>
            <w:tr w:rsidR="00955C3A" w:rsidRPr="00640F3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55C3A" w:rsidRPr="00640F33" w:rsidRDefault="00955C3A" w:rsidP="00955C3A">
                  <w:pPr>
                    <w:spacing w:after="32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tbl>
                  <w:tblPr>
                    <w:tblW w:w="5250" w:type="dxa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50"/>
                  </w:tblGrid>
                  <w:tr w:rsidR="00955C3A" w:rsidRPr="00640F3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Default="00955C3A" w:rsidP="00FE690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(</w:t>
                        </w:r>
                        <w:r w:rsidR="00FE6901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นางสาวสมกมล  ศรี</w:t>
                        </w:r>
                        <w:proofErr w:type="spellStart"/>
                        <w:r w:rsidR="00FE6901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สมโภชน์</w:t>
                        </w:r>
                        <w:proofErr w:type="spellEnd"/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) </w:t>
                        </w:r>
                      </w:p>
                      <w:p w:rsidR="00FE6901" w:rsidRPr="00640F33" w:rsidRDefault="00FE6901" w:rsidP="00FE690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ปลัดองค์การบริหารส่วนตำบล  ปฏิบัติหน้าที่</w:t>
                        </w:r>
                      </w:p>
                    </w:tc>
                  </w:tr>
                  <w:tr w:rsidR="00955C3A" w:rsidRPr="00640F3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Pr="00640F33" w:rsidRDefault="00955C3A" w:rsidP="00955C3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</w:t>
                        </w:r>
                        <w:proofErr w:type="spellStart"/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ตำบลอิ</w:t>
                        </w:r>
                        <w:proofErr w:type="spellEnd"/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ปัน</w:t>
                        </w:r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:rsidR="00955C3A" w:rsidRPr="00640F3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Pr="00640F33" w:rsidRDefault="00955C3A" w:rsidP="00955C3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955C3A" w:rsidRPr="00640F3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Pr="00640F33" w:rsidRDefault="00955C3A" w:rsidP="00955C3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955C3A" w:rsidRPr="00640F33" w:rsidRDefault="00955C3A" w:rsidP="00955C3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0F3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</w:t>
                  </w:r>
                </w:p>
              </w:tc>
            </w:tr>
          </w:tbl>
          <w:p w:rsidR="00955C3A" w:rsidRPr="00640F33" w:rsidRDefault="00955C3A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</w:tc>
      </w:tr>
    </w:tbl>
    <w:p w:rsidR="00955C3A" w:rsidRPr="00640F33" w:rsidRDefault="00955C3A" w:rsidP="00955C3A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640F33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955C3A" w:rsidRPr="00640F33" w:rsidRDefault="00C2648B" w:rsidP="00955C3A">
      <w:pPr>
        <w:spacing w:after="0" w:line="240" w:lineRule="auto"/>
        <w:rPr>
          <w:rFonts w:ascii="TH SarabunPSK" w:eastAsia="Times New Roman" w:hAnsi="TH SarabunPSK" w:cs="TH SarabunPSK"/>
          <w:sz w:val="19"/>
          <w:szCs w:val="19"/>
        </w:rPr>
      </w:pP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8" o:title=""/>
          </v:shape>
          <w:control r:id="rId9" w:name="DefaultOcxName" w:shapeid="_x0000_i1070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73" type="#_x0000_t75" style="width:1in;height:18pt" o:ole="">
            <v:imagedata r:id="rId10" o:title=""/>
          </v:shape>
          <w:control r:id="rId11" w:name="DefaultOcxName1" w:shapeid="_x0000_i1073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76" type="#_x0000_t75" style="width:1in;height:18pt" o:ole="">
            <v:imagedata r:id="rId8" o:title=""/>
          </v:shape>
          <w:control r:id="rId12" w:name="DefaultOcxName2" w:shapeid="_x0000_i1076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79" type="#_x0000_t75" style="width:1in;height:18pt" o:ole="">
            <v:imagedata r:id="rId13" o:title=""/>
          </v:shape>
          <w:control r:id="rId14" w:name="DefaultOcxName3" w:shapeid="_x0000_i1079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82" type="#_x0000_t75" style="width:1in;height:18pt" o:ole="">
            <v:imagedata r:id="rId15" o:title=""/>
          </v:shape>
          <w:control r:id="rId16" w:name="DefaultOcxName4" w:shapeid="_x0000_i1082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85" type="#_x0000_t75" style="width:1in;height:18pt" o:ole="">
            <v:imagedata r:id="rId17" o:title=""/>
          </v:shape>
          <w:control r:id="rId18" w:name="DefaultOcxName5" w:shapeid="_x0000_i1085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88" type="#_x0000_t75" style="width:1in;height:18pt" o:ole="">
            <v:imagedata r:id="rId8" o:title=""/>
          </v:shape>
          <w:control r:id="rId19" w:name="DefaultOcxName6" w:shapeid="_x0000_i1088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91" type="#_x0000_t75" style="width:1in;height:18pt" o:ole="">
            <v:imagedata r:id="rId20" o:title=""/>
          </v:shape>
          <w:control r:id="rId21" w:name="DefaultOcxName7" w:shapeid="_x0000_i1091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94" type="#_x0000_t75" style="width:1in;height:18pt" o:ole="">
            <v:imagedata r:id="rId22" o:title=""/>
          </v:shape>
          <w:control r:id="rId23" w:name="DefaultOcxName8" w:shapeid="_x0000_i1094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97" type="#_x0000_t75" style="width:1in;height:18pt" o:ole="">
            <v:imagedata r:id="rId24" o:title=""/>
          </v:shape>
          <w:control r:id="rId25" w:name="DefaultOcxName9" w:shapeid="_x0000_i1097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0" type="#_x0000_t75" style="width:1in;height:18pt" o:ole="">
            <v:imagedata r:id="rId26" o:title=""/>
          </v:shape>
          <w:control r:id="rId27" w:name="DefaultOcxName10" w:shapeid="_x0000_i1100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3" type="#_x0000_t75" style="width:1in;height:18pt" o:ole="">
            <v:imagedata r:id="rId28" o:title=""/>
          </v:shape>
          <w:control r:id="rId29" w:name="DefaultOcxName11" w:shapeid="_x0000_i1103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6" type="#_x0000_t75" style="width:1in;height:18pt" o:ole="">
            <v:imagedata r:id="rId30" o:title=""/>
          </v:shape>
          <w:control r:id="rId31" w:name="DefaultOcxName12" w:shapeid="_x0000_i1106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9" type="#_x0000_t75" style="width:1in;height:18pt" o:ole="">
            <v:imagedata r:id="rId32" o:title=""/>
          </v:shape>
          <w:control r:id="rId33" w:name="DefaultOcxName13" w:shapeid="_x0000_i1109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12" type="#_x0000_t75" style="width:1in;height:18pt" o:ole="">
            <v:imagedata r:id="rId34" o:title=""/>
          </v:shape>
          <w:control r:id="rId35" w:name="DefaultOcxName14" w:shapeid="_x0000_i1112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15" type="#_x0000_t75" style="width:1in;height:18pt" o:ole="">
            <v:imagedata r:id="rId36" o:title=""/>
          </v:shape>
          <w:control r:id="rId37" w:name="DefaultOcxName15" w:shapeid="_x0000_i1115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18" type="#_x0000_t75" style="width:1in;height:18pt" o:ole="">
            <v:imagedata r:id="rId38" o:title=""/>
          </v:shape>
          <w:control r:id="rId39" w:name="DefaultOcxName16" w:shapeid="_x0000_i1118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21" type="#_x0000_t75" style="width:1in;height:18pt" o:ole="">
            <v:imagedata r:id="rId40" o:title=""/>
          </v:shape>
          <w:control r:id="rId41" w:name="DefaultOcxName17" w:shapeid="_x0000_i1121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24" type="#_x0000_t75" style="width:1in;height:18pt" o:ole="">
            <v:imagedata r:id="rId42" o:title=""/>
          </v:shape>
          <w:control r:id="rId43" w:name="DefaultOcxName18" w:shapeid="_x0000_i1124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27" type="#_x0000_t75" style="width:1in;height:18pt" o:ole="">
            <v:imagedata r:id="rId44" o:title=""/>
          </v:shape>
          <w:control r:id="rId45" w:name="DefaultOcxName19" w:shapeid="_x0000_i1127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30" type="#_x0000_t75" style="width:1in;height:18pt" o:ole="">
            <v:imagedata r:id="rId46" o:title=""/>
          </v:shape>
          <w:control r:id="rId47" w:name="DefaultOcxName20" w:shapeid="_x0000_i1130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33" type="#_x0000_t75" style="width:1in;height:18pt" o:ole="">
            <v:imagedata r:id="rId48" o:title=""/>
          </v:shape>
          <w:control r:id="rId49" w:name="DefaultOcxName21" w:shapeid="_x0000_i1133"/>
        </w:object>
      </w:r>
    </w:p>
    <w:p w:rsidR="00955C3A" w:rsidRPr="00640F33" w:rsidRDefault="00955C3A" w:rsidP="00955C3A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640F33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A15669" w:rsidRPr="00640F33" w:rsidRDefault="00A15669">
      <w:pPr>
        <w:rPr>
          <w:rFonts w:ascii="TH SarabunPSK" w:hAnsi="TH SarabunPSK" w:cs="TH SarabunPSK"/>
        </w:rPr>
      </w:pPr>
    </w:p>
    <w:sectPr w:rsidR="00A15669" w:rsidRPr="00640F33" w:rsidSect="00E6224F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B53" w:rsidRDefault="00564B53" w:rsidP="00564B53">
      <w:pPr>
        <w:spacing w:after="0" w:line="240" w:lineRule="auto"/>
      </w:pPr>
      <w:r>
        <w:separator/>
      </w:r>
    </w:p>
  </w:endnote>
  <w:endnote w:type="continuationSeparator" w:id="1">
    <w:p w:rsidR="00564B53" w:rsidRDefault="00564B53" w:rsidP="0056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B53" w:rsidRDefault="00564B53" w:rsidP="00564B53">
      <w:pPr>
        <w:spacing w:after="0" w:line="240" w:lineRule="auto"/>
      </w:pPr>
      <w:r>
        <w:separator/>
      </w:r>
    </w:p>
  </w:footnote>
  <w:footnote w:type="continuationSeparator" w:id="1">
    <w:p w:rsidR="00564B53" w:rsidRDefault="00564B53" w:rsidP="00564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55C3A"/>
    <w:rsid w:val="00004DB0"/>
    <w:rsid w:val="000817EA"/>
    <w:rsid w:val="000C7055"/>
    <w:rsid w:val="00114403"/>
    <w:rsid w:val="001369BB"/>
    <w:rsid w:val="001B31A5"/>
    <w:rsid w:val="001B4BEC"/>
    <w:rsid w:val="001C054D"/>
    <w:rsid w:val="001D47F2"/>
    <w:rsid w:val="001E7634"/>
    <w:rsid w:val="002558AB"/>
    <w:rsid w:val="00271B5C"/>
    <w:rsid w:val="00293EDC"/>
    <w:rsid w:val="002B39E1"/>
    <w:rsid w:val="003A562A"/>
    <w:rsid w:val="003A5EAD"/>
    <w:rsid w:val="003B0CAE"/>
    <w:rsid w:val="003C01E0"/>
    <w:rsid w:val="003C4177"/>
    <w:rsid w:val="003C542F"/>
    <w:rsid w:val="003D545F"/>
    <w:rsid w:val="003E0FC4"/>
    <w:rsid w:val="00406667"/>
    <w:rsid w:val="00415FD9"/>
    <w:rsid w:val="0044131F"/>
    <w:rsid w:val="00481475"/>
    <w:rsid w:val="00492973"/>
    <w:rsid w:val="004C060A"/>
    <w:rsid w:val="005338FC"/>
    <w:rsid w:val="0054132F"/>
    <w:rsid w:val="00564B53"/>
    <w:rsid w:val="005719A5"/>
    <w:rsid w:val="00584BAC"/>
    <w:rsid w:val="00640F33"/>
    <w:rsid w:val="0066220A"/>
    <w:rsid w:val="006814C4"/>
    <w:rsid w:val="00684847"/>
    <w:rsid w:val="006D0C0B"/>
    <w:rsid w:val="00722BA2"/>
    <w:rsid w:val="00725890"/>
    <w:rsid w:val="00756D45"/>
    <w:rsid w:val="007B5440"/>
    <w:rsid w:val="007C7CE7"/>
    <w:rsid w:val="007D7618"/>
    <w:rsid w:val="008504B4"/>
    <w:rsid w:val="0085728B"/>
    <w:rsid w:val="008D4F6E"/>
    <w:rsid w:val="00947D4F"/>
    <w:rsid w:val="00955C3A"/>
    <w:rsid w:val="00A15669"/>
    <w:rsid w:val="00A963FD"/>
    <w:rsid w:val="00AD7FD5"/>
    <w:rsid w:val="00AE26C1"/>
    <w:rsid w:val="00B3094C"/>
    <w:rsid w:val="00B473BE"/>
    <w:rsid w:val="00B87122"/>
    <w:rsid w:val="00BC0BC0"/>
    <w:rsid w:val="00BC77DE"/>
    <w:rsid w:val="00BC7C4A"/>
    <w:rsid w:val="00BE59AD"/>
    <w:rsid w:val="00C01C02"/>
    <w:rsid w:val="00C14576"/>
    <w:rsid w:val="00C2648B"/>
    <w:rsid w:val="00C3295E"/>
    <w:rsid w:val="00C45EE1"/>
    <w:rsid w:val="00C97E08"/>
    <w:rsid w:val="00CA48D3"/>
    <w:rsid w:val="00CF05BC"/>
    <w:rsid w:val="00D42558"/>
    <w:rsid w:val="00D61AD6"/>
    <w:rsid w:val="00D64502"/>
    <w:rsid w:val="00D820B2"/>
    <w:rsid w:val="00DB0F0F"/>
    <w:rsid w:val="00DB3E0F"/>
    <w:rsid w:val="00E269B7"/>
    <w:rsid w:val="00E3130F"/>
    <w:rsid w:val="00E6224F"/>
    <w:rsid w:val="00E84893"/>
    <w:rsid w:val="00E942CF"/>
    <w:rsid w:val="00E972BB"/>
    <w:rsid w:val="00EF630A"/>
    <w:rsid w:val="00F0300B"/>
    <w:rsid w:val="00F25EE6"/>
    <w:rsid w:val="00F27601"/>
    <w:rsid w:val="00F27778"/>
    <w:rsid w:val="00F461FF"/>
    <w:rsid w:val="00F540A1"/>
    <w:rsid w:val="00F61E2C"/>
    <w:rsid w:val="00F662B2"/>
    <w:rsid w:val="00F73E2F"/>
    <w:rsid w:val="00F84D2F"/>
    <w:rsid w:val="00F97FAA"/>
    <w:rsid w:val="00FD29FD"/>
    <w:rsid w:val="00FE431E"/>
    <w:rsid w:val="00FE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69"/>
  </w:style>
  <w:style w:type="paragraph" w:styleId="9">
    <w:name w:val="heading 9"/>
    <w:basedOn w:val="a"/>
    <w:next w:val="a"/>
    <w:link w:val="90"/>
    <w:qFormat/>
    <w:rsid w:val="00A963FD"/>
    <w:pPr>
      <w:keepNext/>
      <w:spacing w:after="0" w:line="240" w:lineRule="auto"/>
      <w:ind w:left="567" w:hanging="567"/>
      <w:outlineLvl w:val="8"/>
    </w:pPr>
    <w:rPr>
      <w:rFonts w:ascii="Angsana New" w:eastAsia="Cordia New" w:hAnsi="Angsana New" w:cs="Angsana New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C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955C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5C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955C3A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5C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955C3A"/>
    <w:rPr>
      <w:rFonts w:ascii="Arial" w:eastAsia="Times New Roman" w:hAnsi="Arial" w:cs="Cordia New"/>
      <w:vanish/>
      <w:sz w:val="16"/>
      <w:szCs w:val="20"/>
    </w:rPr>
  </w:style>
  <w:style w:type="character" w:styleId="a4">
    <w:name w:val="Hyperlink"/>
    <w:basedOn w:val="a0"/>
    <w:uiPriority w:val="99"/>
    <w:unhideWhenUsed/>
    <w:rsid w:val="00D61AD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6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564B53"/>
  </w:style>
  <w:style w:type="paragraph" w:styleId="a7">
    <w:name w:val="footer"/>
    <w:basedOn w:val="a"/>
    <w:link w:val="a8"/>
    <w:uiPriority w:val="99"/>
    <w:semiHidden/>
    <w:unhideWhenUsed/>
    <w:rsid w:val="0056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564B53"/>
  </w:style>
  <w:style w:type="character" w:customStyle="1" w:styleId="90">
    <w:name w:val="หัวเรื่อง 9 อักขระ"/>
    <w:basedOn w:val="a0"/>
    <w:link w:val="9"/>
    <w:rsid w:val="00A963FD"/>
    <w:rPr>
      <w:rFonts w:ascii="Angsana New" w:eastAsia="Cordia New" w:hAnsi="Angsana New" w:cs="Angsana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fontTable" Target="fontTable.xml"/><Relationship Id="rId7" Type="http://schemas.openxmlformats.org/officeDocument/2006/relationships/hyperlink" Target="http://www.eipun.go.th" TargetMode="Externa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65</cp:revision>
  <cp:lastPrinted>2015-01-28T03:00:00Z</cp:lastPrinted>
  <dcterms:created xsi:type="dcterms:W3CDTF">2002-01-03T23:14:00Z</dcterms:created>
  <dcterms:modified xsi:type="dcterms:W3CDTF">2015-01-28T03:24:00Z</dcterms:modified>
</cp:coreProperties>
</file>